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78B36" w14:textId="77777777" w:rsidR="00816E19" w:rsidRPr="00816E19" w:rsidRDefault="00816E19" w:rsidP="00816E19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0" w:name="_Toc489016121"/>
      <w:r w:rsidRPr="00816E19">
        <w:rPr>
          <w:rFonts w:ascii="Times New Roman" w:eastAsia="Times New Roman" w:hAnsi="Times New Roman" w:cs="Times New Roman"/>
          <w:lang w:eastAsia="pl-PL"/>
        </w:rPr>
        <w:t xml:space="preserve">Załącznik nr 2 do </w:t>
      </w:r>
    </w:p>
    <w:p w14:paraId="0A444E71" w14:textId="77777777" w:rsidR="00816E19" w:rsidRPr="00816E19" w:rsidRDefault="00816E19" w:rsidP="00816E19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816E19">
        <w:rPr>
          <w:rFonts w:ascii="Times New Roman" w:eastAsia="Times New Roman" w:hAnsi="Times New Roman" w:cs="Times New Roman"/>
          <w:lang w:eastAsia="pl-PL"/>
        </w:rPr>
        <w:t>uchwały nr 488/5/O/2024</w:t>
      </w:r>
    </w:p>
    <w:p w14:paraId="798204E3" w14:textId="77777777" w:rsidR="00816E19" w:rsidRPr="00816E19" w:rsidRDefault="00816E19" w:rsidP="00816E19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bookmarkStart w:id="1" w:name="_GoBack"/>
      <w:bookmarkEnd w:id="1"/>
      <w:r w:rsidRPr="00816E19">
        <w:rPr>
          <w:rFonts w:ascii="Times New Roman" w:eastAsia="Times New Roman" w:hAnsi="Times New Roman" w:cs="Times New Roman"/>
          <w:lang w:eastAsia="pl-PL"/>
        </w:rPr>
        <w:t>Komisji Egzaminacyjnej</w:t>
      </w:r>
    </w:p>
    <w:p w14:paraId="0C026F61" w14:textId="77777777" w:rsidR="00816E19" w:rsidRPr="00816E19" w:rsidRDefault="00816E19" w:rsidP="00816E19">
      <w:pPr>
        <w:spacing w:after="0" w:line="240" w:lineRule="auto"/>
        <w:ind w:left="11907"/>
        <w:rPr>
          <w:rFonts w:ascii="Times New Roman" w:eastAsia="Times New Roman" w:hAnsi="Times New Roman" w:cs="Times New Roman"/>
          <w:lang w:eastAsia="pl-PL"/>
        </w:rPr>
      </w:pPr>
      <w:r w:rsidRPr="00816E19">
        <w:rPr>
          <w:rFonts w:ascii="Times New Roman" w:eastAsia="Times New Roman" w:hAnsi="Times New Roman" w:cs="Times New Roman"/>
          <w:lang w:eastAsia="pl-PL"/>
        </w:rPr>
        <w:t xml:space="preserve">z dnia 7 maja 2024 r. </w:t>
      </w:r>
    </w:p>
    <w:bookmarkEnd w:id="0"/>
    <w:p w14:paraId="547799E7" w14:textId="77777777" w:rsidR="00816E19" w:rsidRPr="00816E19" w:rsidRDefault="00816E19" w:rsidP="00816E19">
      <w:pPr>
        <w:spacing w:after="0" w:line="240" w:lineRule="auto"/>
        <w:ind w:firstLine="6663"/>
        <w:jc w:val="right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0B581F91" w14:textId="77777777" w:rsidR="00816E19" w:rsidRPr="00462A57" w:rsidRDefault="00816E19" w:rsidP="00816E19">
      <w:pPr>
        <w:spacing w:after="0" w:line="240" w:lineRule="auto"/>
        <w:ind w:left="-3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462A57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Matryca </w:t>
      </w:r>
    </w:p>
    <w:p w14:paraId="2B827679" w14:textId="77777777" w:rsidR="00816E19" w:rsidRDefault="00816E19" w:rsidP="00816E19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16E1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adekwatności treści programu studiów na kierunku będącym przedmiotem umowy z zakresem wiedzy </w:t>
      </w:r>
    </w:p>
    <w:p w14:paraId="4EBFBFB0" w14:textId="4707B89A" w:rsidR="00816E19" w:rsidRPr="00816E19" w:rsidRDefault="00816E19" w:rsidP="00816E19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16E19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wymaganym przez Komisję Egzaminacyjną w postępowaniu kwalifikacyjnym</w:t>
      </w:r>
    </w:p>
    <w:p w14:paraId="2D299DC1" w14:textId="77777777" w:rsidR="00816E19" w:rsidRPr="00816E19" w:rsidRDefault="00816E19" w:rsidP="00816E19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3095AE49" w14:textId="1E47AD16" w:rsidR="00816E19" w:rsidRPr="00E80ACD" w:rsidRDefault="00816E19" w:rsidP="00816E19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</w:pPr>
      <w:r w:rsidRPr="00E80ACD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pl-PL"/>
        </w:rPr>
        <w:t>Rachunkowość finansowa</w:t>
      </w:r>
    </w:p>
    <w:p w14:paraId="794BF0B2" w14:textId="77777777" w:rsidR="00816E19" w:rsidRDefault="00816E19" w:rsidP="00816E19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816E19">
        <w:rPr>
          <w:rFonts w:ascii="Times New Roman" w:eastAsia="Times New Roman" w:hAnsi="Times New Roman" w:cs="Times New Roman"/>
          <w:sz w:val="16"/>
          <w:szCs w:val="16"/>
          <w:lang w:eastAsia="pl-PL"/>
        </w:rPr>
        <w:t>(nazwa egzaminu z wiedzy w postępowaniu kwalifikacyjnym)</w:t>
      </w:r>
    </w:p>
    <w:p w14:paraId="7F73C9F1" w14:textId="77777777" w:rsidR="00816E19" w:rsidRPr="00816E19" w:rsidRDefault="00816E19" w:rsidP="00816E19">
      <w:pPr>
        <w:spacing w:after="0" w:line="240" w:lineRule="auto"/>
        <w:ind w:left="-357" w:hanging="494"/>
        <w:jc w:val="center"/>
        <w:outlineLvl w:val="0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Style w:val="Tabela-Siatka118"/>
        <w:tblW w:w="1502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37"/>
        <w:gridCol w:w="3118"/>
        <w:gridCol w:w="3686"/>
        <w:gridCol w:w="3685"/>
      </w:tblGrid>
      <w:tr w:rsidR="00E23546" w:rsidRPr="00BB476D" w14:paraId="708DA405" w14:textId="77777777" w:rsidTr="00816E19">
        <w:trPr>
          <w:trHeight w:val="420"/>
          <w:tblHeader/>
        </w:trPr>
        <w:tc>
          <w:tcPr>
            <w:tcW w:w="4537" w:type="dxa"/>
            <w:vMerge w:val="restart"/>
            <w:shd w:val="clear" w:color="auto" w:fill="E2EFD9" w:themeFill="accent6" w:themeFillTint="33"/>
            <w:vAlign w:val="center"/>
          </w:tcPr>
          <w:p w14:paraId="708DA401" w14:textId="77777777" w:rsidR="00E23546" w:rsidRPr="00BB476D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Zakres wymaganej wiedzy</w:t>
            </w:r>
          </w:p>
        </w:tc>
        <w:tc>
          <w:tcPr>
            <w:tcW w:w="10489" w:type="dxa"/>
            <w:gridSpan w:val="3"/>
            <w:shd w:val="clear" w:color="auto" w:fill="E2EFD9" w:themeFill="accent6" w:themeFillTint="33"/>
            <w:vAlign w:val="center"/>
          </w:tcPr>
          <w:p w14:paraId="708DA404" w14:textId="6A1126D8" w:rsidR="00E23546" w:rsidRPr="00BB476D" w:rsidRDefault="00816E19" w:rsidP="00816E19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24B13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Tematy znajdujące odzwierciedlenie w programach z danego przedmiotu</w:t>
            </w:r>
          </w:p>
        </w:tc>
      </w:tr>
      <w:tr w:rsidR="00E23546" w:rsidRPr="00BB476D" w14:paraId="708DA417" w14:textId="77777777" w:rsidTr="00816E19">
        <w:trPr>
          <w:trHeight w:val="668"/>
          <w:tblHeader/>
        </w:trPr>
        <w:tc>
          <w:tcPr>
            <w:tcW w:w="4537" w:type="dxa"/>
            <w:vMerge/>
            <w:shd w:val="clear" w:color="auto" w:fill="E2EFD9" w:themeFill="accent6" w:themeFillTint="33"/>
            <w:vAlign w:val="center"/>
          </w:tcPr>
          <w:p w14:paraId="708DA406" w14:textId="77777777" w:rsidR="00E23546" w:rsidRPr="00BB476D" w:rsidRDefault="00E23546" w:rsidP="005929A5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E2EFD9" w:themeFill="accent6" w:themeFillTint="33"/>
          </w:tcPr>
          <w:p w14:paraId="708DA407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08DA408" w14:textId="30678391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………………………</w:t>
            </w:r>
            <w:r w:rsidR="00816E19">
              <w:rPr>
                <w:rFonts w:ascii="Times New Roman" w:eastAsia="Calibri" w:hAnsi="Times New Roman" w:cs="Times New Roman"/>
                <w:sz w:val="20"/>
                <w:szCs w:val="20"/>
              </w:rPr>
              <w:t>……..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……….</w:t>
            </w:r>
          </w:p>
          <w:p w14:paraId="708DA409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przedmiotu uczelnianego</w:t>
            </w:r>
          </w:p>
          <w:p w14:paraId="708DA40A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708DA40B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20"/>
                <w:szCs w:val="16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  <w:r>
              <w:rPr>
                <w:rStyle w:val="Odwoanieprzypisudolnego"/>
                <w:rFonts w:ascii="Times New Roman" w:eastAsia="Calibri" w:hAnsi="Times New Roman" w:cs="Times New Roman"/>
                <w:sz w:val="20"/>
                <w:szCs w:val="20"/>
              </w:rPr>
              <w:footnoteReference w:id="1"/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footnoteReference w:id="2"/>
            </w:r>
          </w:p>
          <w:p w14:paraId="708DA40C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</w:p>
        </w:tc>
        <w:tc>
          <w:tcPr>
            <w:tcW w:w="3686" w:type="dxa"/>
            <w:shd w:val="clear" w:color="auto" w:fill="E2EFD9" w:themeFill="accent6" w:themeFillTint="33"/>
          </w:tcPr>
          <w:p w14:paraId="708DA40D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08DA40E" w14:textId="16CE7C08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……………………</w:t>
            </w:r>
            <w:r w:rsidR="00816E19">
              <w:rPr>
                <w:rFonts w:ascii="Times New Roman" w:eastAsia="Calibri" w:hAnsi="Times New Roman" w:cs="Times New Roman"/>
                <w:sz w:val="20"/>
                <w:szCs w:val="20"/>
              </w:rPr>
              <w:t>……………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………….</w:t>
            </w:r>
          </w:p>
          <w:p w14:paraId="708DA40F" w14:textId="27FA0B40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przedmiotu uczelnianego</w:t>
            </w:r>
          </w:p>
          <w:p w14:paraId="708DA410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708DA411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  <w:tc>
          <w:tcPr>
            <w:tcW w:w="3685" w:type="dxa"/>
            <w:shd w:val="clear" w:color="auto" w:fill="E2EFD9" w:themeFill="accent6" w:themeFillTint="33"/>
          </w:tcPr>
          <w:p w14:paraId="708DA412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08DA413" w14:textId="60DC7D8F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</w:t>
            </w:r>
            <w:r w:rsidR="00816E19">
              <w:rPr>
                <w:rFonts w:ascii="Times New Roman" w:eastAsia="Calibri" w:hAnsi="Times New Roman" w:cs="Times New Roman"/>
                <w:sz w:val="20"/>
                <w:szCs w:val="20"/>
              </w:rPr>
              <w:t>………..</w:t>
            </w: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……………….</w:t>
            </w:r>
          </w:p>
          <w:p w14:paraId="708DA414" w14:textId="78D0DB23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18"/>
                <w:szCs w:val="18"/>
              </w:rPr>
              <w:t>Nazwa przedmiotu uczelnianego</w:t>
            </w:r>
          </w:p>
          <w:p w14:paraId="708DA415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Treść sylabusa/karty </w:t>
            </w:r>
          </w:p>
          <w:p w14:paraId="708DA416" w14:textId="77777777" w:rsidR="00E23546" w:rsidRPr="00BB476D" w:rsidRDefault="00E23546" w:rsidP="005929A5">
            <w:pPr>
              <w:ind w:hanging="59"/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BB476D">
              <w:rPr>
                <w:rFonts w:ascii="Times New Roman" w:eastAsia="Calibri" w:hAnsi="Times New Roman" w:cs="Times New Roman"/>
                <w:sz w:val="20"/>
                <w:szCs w:val="20"/>
              </w:rPr>
              <w:t>adekwatnie do zakresu wymaganej wiedzy ujętej w kolumnie 1</w:t>
            </w:r>
          </w:p>
        </w:tc>
      </w:tr>
      <w:tr w:rsidR="00E23546" w:rsidRPr="00816E19" w14:paraId="708DA41C" w14:textId="77777777" w:rsidTr="00816E19">
        <w:trPr>
          <w:trHeight w:val="280"/>
          <w:tblHeader/>
        </w:trPr>
        <w:tc>
          <w:tcPr>
            <w:tcW w:w="4537" w:type="dxa"/>
            <w:shd w:val="clear" w:color="auto" w:fill="E2EFD9" w:themeFill="accent6" w:themeFillTint="33"/>
            <w:vAlign w:val="center"/>
          </w:tcPr>
          <w:p w14:paraId="708DA418" w14:textId="77777777" w:rsidR="00E23546" w:rsidRPr="00816E19" w:rsidRDefault="00E23546" w:rsidP="00816E1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816E19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118" w:type="dxa"/>
            <w:shd w:val="clear" w:color="auto" w:fill="E2EFD9" w:themeFill="accent6" w:themeFillTint="33"/>
            <w:vAlign w:val="center"/>
          </w:tcPr>
          <w:p w14:paraId="708DA419" w14:textId="77777777" w:rsidR="00E23546" w:rsidRPr="00816E19" w:rsidRDefault="00E23546" w:rsidP="00816E19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16E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3686" w:type="dxa"/>
            <w:shd w:val="clear" w:color="auto" w:fill="E2EFD9" w:themeFill="accent6" w:themeFillTint="33"/>
            <w:vAlign w:val="center"/>
          </w:tcPr>
          <w:p w14:paraId="708DA41A" w14:textId="77777777" w:rsidR="00E23546" w:rsidRPr="00816E19" w:rsidRDefault="00E23546" w:rsidP="00816E19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16E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708DA41B" w14:textId="77777777" w:rsidR="00E23546" w:rsidRPr="00816E19" w:rsidRDefault="00E23546" w:rsidP="00816E19">
            <w:pPr>
              <w:ind w:hanging="59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16E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4</w:t>
            </w:r>
          </w:p>
        </w:tc>
      </w:tr>
      <w:tr w:rsidR="00E23546" w:rsidRPr="00BB476D" w14:paraId="708DA421" w14:textId="77777777" w:rsidTr="00ED28E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0"/>
        </w:trPr>
        <w:tc>
          <w:tcPr>
            <w:tcW w:w="4537" w:type="dxa"/>
          </w:tcPr>
          <w:p w14:paraId="2698264C" w14:textId="77777777" w:rsidR="00880601" w:rsidRDefault="00965E4E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6.1. </w:t>
            </w: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Rachunkowość finansowa jednostek, w tym spółek publicznych – według ustawy o rachunkowości (UoR) i </w:t>
            </w:r>
          </w:p>
          <w:p w14:paraId="06C054FD" w14:textId="77777777" w:rsidR="00880601" w:rsidRDefault="00880601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225F6FCF" w14:textId="77777777" w:rsidR="00880601" w:rsidRDefault="00880601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9F78A99" w14:textId="76BBEC26" w:rsidR="00E23546" w:rsidRDefault="00965E4E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MSR</w:t>
            </w:r>
            <w:r w:rsidRPr="00D57E17">
              <w:rPr>
                <w:rStyle w:val="Odwoanieprzypisudolnego"/>
                <w:rFonts w:ascii="Times New Roman" w:hAnsi="Times New Roman" w:cs="Times New Roman"/>
                <w:b/>
                <w:sz w:val="18"/>
                <w:szCs w:val="18"/>
              </w:rPr>
              <w:footnoteReference w:id="3"/>
            </w: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(z wyłączeniem jednostek prowadzących działalność na podstawie prawa bankowego, ustawy o obrocie instrumentami finansowymi, przepisów o funduszach inwestycyjnych, ustawy o spółdzielczych kasach oszczędnościowo-kredytowych, ustawy o instytucjach płatniczych oraz ustawy o działalności ubezpieczeniowej, ustawy o organizacji i funkcjonowaniu funduszy emerytalnych i ustawy o finansach publicznych)</w:t>
            </w:r>
          </w:p>
          <w:p w14:paraId="6EBA8D75" w14:textId="77777777" w:rsidR="00DC5C07" w:rsidRDefault="00DC5C07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4F293E9A" w14:textId="0CADEABD" w:rsidR="00B22DA4" w:rsidRDefault="003313A3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6.1.1.</w:t>
            </w:r>
            <w:r w:rsidR="00E14D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Wycena początkowa, bieżąca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i bilansowa poszczególnych </w:t>
            </w:r>
          </w:p>
          <w:p w14:paraId="0F8AB56E" w14:textId="07131F4B" w:rsidR="00244484" w:rsidRDefault="00B22DA4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E14D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313A3" w:rsidRPr="00D57E17">
              <w:rPr>
                <w:rFonts w:ascii="Times New Roman" w:hAnsi="Times New Roman" w:cs="Times New Roman"/>
                <w:sz w:val="18"/>
                <w:szCs w:val="18"/>
              </w:rPr>
              <w:t>składników aktywów i</w:t>
            </w:r>
            <w:r w:rsidR="003313A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313A3" w:rsidRPr="00D57E17">
              <w:rPr>
                <w:rFonts w:ascii="Times New Roman" w:hAnsi="Times New Roman" w:cs="Times New Roman"/>
                <w:sz w:val="18"/>
                <w:szCs w:val="18"/>
              </w:rPr>
              <w:t>pasywów</w:t>
            </w:r>
          </w:p>
          <w:p w14:paraId="610DC8F0" w14:textId="03A4306E" w:rsidR="00B22DA4" w:rsidRDefault="003C1D8B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6.1.2.</w:t>
            </w:r>
            <w:r w:rsidR="00E14D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Ujęcie w księgach rachunkowych i prezentacja w </w:t>
            </w:r>
          </w:p>
          <w:p w14:paraId="0B48E803" w14:textId="77777777" w:rsidR="00B22DA4" w:rsidRDefault="00B22DA4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3C1D8B"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sprawozdaniu finansowym zdarzeń związanych z </w:t>
            </w:r>
          </w:p>
          <w:p w14:paraId="4E854FC2" w14:textId="0F161F10" w:rsidR="00B22DA4" w:rsidRPr="00B22DA4" w:rsidRDefault="00B22DA4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3C1D8B" w:rsidRPr="00D57E17">
              <w:rPr>
                <w:rFonts w:ascii="Times New Roman" w:hAnsi="Times New Roman" w:cs="Times New Roman"/>
                <w:sz w:val="18"/>
                <w:szCs w:val="18"/>
              </w:rPr>
              <w:t>działalnością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operacyjną, inwestycyjną i finansową</w:t>
            </w:r>
          </w:p>
          <w:p w14:paraId="7ABF3DBC" w14:textId="4CE29792" w:rsidR="00B22DA4" w:rsidRDefault="0097695A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6.1.3.</w:t>
            </w:r>
            <w:r w:rsidR="00E14D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Ujęcie w księgach rachunkowych i prezentacja w </w:t>
            </w:r>
          </w:p>
          <w:p w14:paraId="4C629274" w14:textId="77777777" w:rsidR="00B22DA4" w:rsidRDefault="00B22DA4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97695A"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sprawozdaniu finansowym różnic pomiędzy wyceną bieżącą i </w:t>
            </w:r>
          </w:p>
          <w:p w14:paraId="3A750262" w14:textId="756CB235" w:rsidR="00244484" w:rsidRDefault="00B22DA4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97695A" w:rsidRPr="00D57E17">
              <w:rPr>
                <w:rFonts w:ascii="Times New Roman" w:hAnsi="Times New Roman" w:cs="Times New Roman"/>
                <w:sz w:val="18"/>
                <w:szCs w:val="18"/>
              </w:rPr>
              <w:t>wyceną bilansową aktywów i pasywów</w:t>
            </w:r>
          </w:p>
          <w:p w14:paraId="556A8C7F" w14:textId="77777777" w:rsidR="00181271" w:rsidRDefault="00714B21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6.1.4.</w:t>
            </w:r>
            <w:r w:rsidR="001812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Księgowe ujęcie i prezentacja w sprawozdaniu finansowym </w:t>
            </w:r>
          </w:p>
          <w:p w14:paraId="51C16CBB" w14:textId="2EDC13BA" w:rsidR="00244484" w:rsidRDefault="00181271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714B21" w:rsidRPr="00D57E17">
              <w:rPr>
                <w:rFonts w:ascii="Times New Roman" w:hAnsi="Times New Roman" w:cs="Times New Roman"/>
                <w:sz w:val="18"/>
                <w:szCs w:val="18"/>
              </w:rPr>
              <w:t>procesu sprzedaży produktów i towarów</w:t>
            </w:r>
          </w:p>
          <w:p w14:paraId="74F93BC8" w14:textId="77777777" w:rsidR="00181271" w:rsidRDefault="006D771E" w:rsidP="005929A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D771E">
              <w:rPr>
                <w:rFonts w:ascii="Times New Roman" w:eastAsia="Calibri" w:hAnsi="Times New Roman" w:cs="Times New Roman"/>
                <w:sz w:val="18"/>
                <w:szCs w:val="18"/>
              </w:rPr>
              <w:t>6.1.5.</w:t>
            </w:r>
            <w:r w:rsidR="001812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D771E">
              <w:rPr>
                <w:rFonts w:ascii="Times New Roman" w:eastAsia="Calibri" w:hAnsi="Times New Roman" w:cs="Times New Roman"/>
                <w:sz w:val="18"/>
                <w:szCs w:val="18"/>
              </w:rPr>
              <w:t>Wycena, ujęcie w księgach rachunkowych i prezentacja w</w:t>
            </w:r>
          </w:p>
          <w:p w14:paraId="1AE5760B" w14:textId="1F1BE12A" w:rsidR="00244484" w:rsidRDefault="00181271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</w:t>
            </w:r>
            <w:r w:rsidR="006D771E" w:rsidRPr="006D771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sprawozdaniu finansowym pozostałej działalności operacyjnej</w:t>
            </w:r>
          </w:p>
          <w:p w14:paraId="118EAACF" w14:textId="77777777" w:rsidR="00181271" w:rsidRDefault="00596BEF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6.1.6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1812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Wycena, księgowe ujęcie i prezentacja w sprawozdaniu </w:t>
            </w:r>
          </w:p>
          <w:p w14:paraId="259897AB" w14:textId="546D4EAE" w:rsidR="00244484" w:rsidRDefault="00181271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  <w:r w:rsidR="00596BEF">
              <w:rPr>
                <w:rFonts w:ascii="Times New Roman" w:hAnsi="Times New Roman" w:cs="Times New Roman"/>
                <w:sz w:val="18"/>
                <w:szCs w:val="18"/>
              </w:rPr>
              <w:t>finansowym operacji finansowych</w:t>
            </w:r>
          </w:p>
          <w:p w14:paraId="114605CE" w14:textId="6E7B5360" w:rsidR="00666B16" w:rsidRPr="00666B16" w:rsidRDefault="00614563" w:rsidP="005929A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14563">
              <w:rPr>
                <w:rFonts w:ascii="Times New Roman" w:eastAsia="Calibri" w:hAnsi="Times New Roman" w:cs="Times New Roman"/>
                <w:sz w:val="18"/>
                <w:szCs w:val="18"/>
              </w:rPr>
              <w:t>6.1.7.</w:t>
            </w:r>
            <w:r w:rsidR="0018127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14563">
              <w:rPr>
                <w:rFonts w:ascii="Times New Roman" w:eastAsia="Calibri" w:hAnsi="Times New Roman" w:cs="Times New Roman"/>
                <w:sz w:val="18"/>
                <w:szCs w:val="18"/>
              </w:rPr>
              <w:t>Ustalanie wyniku finansowego i jego rozliczani</w:t>
            </w:r>
            <w:r w:rsidR="008265BD">
              <w:rPr>
                <w:rFonts w:ascii="Times New Roman" w:eastAsia="Calibri" w:hAnsi="Times New Roman" w:cs="Times New Roman"/>
                <w:sz w:val="18"/>
                <w:szCs w:val="18"/>
              </w:rPr>
              <w:t>e</w:t>
            </w:r>
          </w:p>
          <w:p w14:paraId="1536CB2B" w14:textId="578D4A60" w:rsidR="00443EC5" w:rsidRDefault="00666B16" w:rsidP="00B06E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6.1.8.</w:t>
            </w:r>
            <w:r w:rsidR="0018127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Zasady wyceny, ujmowania i prezentacji w </w:t>
            </w:r>
            <w:r w:rsidR="00443EC5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B06ED1">
              <w:rPr>
                <w:rFonts w:ascii="Times New Roman" w:hAnsi="Times New Roman" w:cs="Times New Roman"/>
                <w:sz w:val="18"/>
                <w:szCs w:val="18"/>
              </w:rPr>
              <w:t>s</w:t>
            </w:r>
            <w:r w:rsidR="00B06ED1" w:rsidRPr="00D57E17">
              <w:rPr>
                <w:rFonts w:ascii="Times New Roman" w:hAnsi="Times New Roman" w:cs="Times New Roman"/>
                <w:sz w:val="18"/>
                <w:szCs w:val="18"/>
              </w:rPr>
              <w:t>prawozdaniu</w:t>
            </w:r>
          </w:p>
          <w:p w14:paraId="4F0B2B00" w14:textId="74D964B3" w:rsidR="00443EC5" w:rsidRDefault="00443EC5" w:rsidP="00B06E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</w:t>
            </w:r>
            <w:r w:rsidR="00666B16"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finansowym wybranych zagadnień, w </w:t>
            </w:r>
            <w:r w:rsidR="00B06ED1" w:rsidRPr="00D57E17">
              <w:rPr>
                <w:rFonts w:ascii="Times New Roman" w:hAnsi="Times New Roman" w:cs="Times New Roman"/>
                <w:sz w:val="18"/>
                <w:szCs w:val="18"/>
              </w:rPr>
              <w:t>szczególności</w:t>
            </w:r>
            <w:r w:rsidR="00B06ED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06ED1" w:rsidRPr="00D57E17">
              <w:rPr>
                <w:rFonts w:ascii="Times New Roman" w:hAnsi="Times New Roman" w:cs="Times New Roman"/>
                <w:sz w:val="18"/>
                <w:szCs w:val="18"/>
              </w:rPr>
              <w:t>takich</w:t>
            </w:r>
          </w:p>
          <w:p w14:paraId="465971EC" w14:textId="3CBEA475" w:rsidR="00666B16" w:rsidRPr="00D57E17" w:rsidRDefault="00443EC5" w:rsidP="00B06ED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  <w:r w:rsidR="00B06ED1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666B16"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jak: </w:t>
            </w:r>
          </w:p>
          <w:p w14:paraId="70744C83" w14:textId="77777777" w:rsidR="00666B16" w:rsidRPr="00D57E17" w:rsidRDefault="00666B16" w:rsidP="00666B16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umowy długoterminowe, </w:t>
            </w:r>
          </w:p>
          <w:p w14:paraId="38A83F5E" w14:textId="77777777" w:rsidR="00666B16" w:rsidRPr="00D57E17" w:rsidRDefault="00666B16" w:rsidP="00666B16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leasing, </w:t>
            </w: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ab/>
            </w:r>
          </w:p>
          <w:p w14:paraId="2993C3B4" w14:textId="77777777" w:rsidR="00666B16" w:rsidRPr="00D57E17" w:rsidRDefault="00666B16" w:rsidP="00666B16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utrata wartości aktywów, </w:t>
            </w:r>
          </w:p>
          <w:p w14:paraId="24C79FF7" w14:textId="77777777" w:rsidR="00666B16" w:rsidRPr="00D57E17" w:rsidRDefault="00666B16" w:rsidP="00666B16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odroczony podatek dochodowy,</w:t>
            </w:r>
          </w:p>
          <w:p w14:paraId="449D192D" w14:textId="12211DC3" w:rsidR="00666B16" w:rsidRPr="008265BD" w:rsidRDefault="00666B16" w:rsidP="008265B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dotacje rządowe, </w:t>
            </w:r>
          </w:p>
          <w:p w14:paraId="5DA0C450" w14:textId="668FA5AB" w:rsidR="00666B16" w:rsidRPr="00D57E17" w:rsidRDefault="00666B16" w:rsidP="008265BD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instrumenty finansowe, </w:t>
            </w:r>
          </w:p>
          <w:p w14:paraId="7B981371" w14:textId="2E2DD0E4" w:rsidR="00666B16" w:rsidRPr="00D57E17" w:rsidRDefault="00666B16" w:rsidP="00666B16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 xml:space="preserve">zmiany zasad rachunkowości </w:t>
            </w:r>
          </w:p>
          <w:p w14:paraId="142EC2DA" w14:textId="77777777" w:rsidR="00666B16" w:rsidRPr="00D57E17" w:rsidRDefault="00666B16" w:rsidP="00666B16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zdarzenia po dacie bilansu,</w:t>
            </w:r>
          </w:p>
          <w:p w14:paraId="60F5CEC7" w14:textId="77777777" w:rsidR="00666B16" w:rsidRPr="00D57E17" w:rsidRDefault="00666B16" w:rsidP="00666B16">
            <w:pPr>
              <w:pStyle w:val="Akapitzlist"/>
              <w:numPr>
                <w:ilvl w:val="0"/>
                <w:numId w:val="7"/>
              </w:num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t>błąd lat ubiegłych.</w:t>
            </w:r>
          </w:p>
          <w:p w14:paraId="7C541FE0" w14:textId="77777777" w:rsidR="00C6321F" w:rsidRDefault="00666B16" w:rsidP="00666B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6.1.9.Szczególne wymagania wobec rachunkowości spółek </w:t>
            </w:r>
          </w:p>
          <w:p w14:paraId="669E803A" w14:textId="78696CB5" w:rsidR="00596BEF" w:rsidRDefault="00C6321F" w:rsidP="00666B1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666B16" w:rsidRPr="00D57E17">
              <w:rPr>
                <w:rFonts w:ascii="Times New Roman" w:hAnsi="Times New Roman" w:cs="Times New Roman"/>
                <w:sz w:val="18"/>
                <w:szCs w:val="18"/>
              </w:rPr>
              <w:t>publicznych.</w:t>
            </w:r>
          </w:p>
          <w:p w14:paraId="66BA520E" w14:textId="10478F7C" w:rsidR="000E6F52" w:rsidRDefault="00076527" w:rsidP="00666B16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76527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6.2. Zmiana podstawy prawnej sporządzania sprawozdań finansowych</w:t>
            </w:r>
          </w:p>
          <w:p w14:paraId="045B3639" w14:textId="77777777" w:rsidR="00F249F9" w:rsidRDefault="00F249F9" w:rsidP="00666B16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3A905F71" w14:textId="4FAA3842" w:rsidR="00952B01" w:rsidRDefault="00952B01" w:rsidP="00666B16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952B0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6.3. Rachunkowość finansowa jednostek prowadzących działalność na podstawie prawa bankowego, ustawy o obrocie instrumentami finansowymi, przepisów o funduszach inwestycyjnych, ustawy o spółdzielczych kasach oszczędnościowo-kredytowych oraz ustawy o instytucjach płatniczych – według ustawy o rachunkowości (UoR) i MSR.</w:t>
            </w:r>
          </w:p>
          <w:p w14:paraId="25470B13" w14:textId="77777777" w:rsidR="00F249F9" w:rsidRDefault="00F249F9" w:rsidP="00666B16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21BD9453" w14:textId="2F87360E" w:rsidR="00842B05" w:rsidRPr="00842B05" w:rsidRDefault="00842B05" w:rsidP="00842B05">
            <w:pPr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  <w:r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>.3.1.</w:t>
            </w:r>
            <w:r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 xml:space="preserve">Wycena początkowa, bieżąca i bilansowa poszczególnych </w:t>
            </w:r>
            <w:r w:rsidR="00F249F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>składników aktywów i pasywów.</w:t>
            </w:r>
          </w:p>
          <w:p w14:paraId="2C6E7FDE" w14:textId="77777777" w:rsidR="003F69E5" w:rsidRDefault="00842B05" w:rsidP="00842B0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>6.3.2.</w:t>
            </w:r>
            <w:r w:rsidR="00C6321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Ujęcie w księgach rachunkowych zdarzeń gospodarczych </w:t>
            </w:r>
          </w:p>
          <w:p w14:paraId="44FFD768" w14:textId="3180AEBF" w:rsidR="003F69E5" w:rsidRDefault="003F69E5" w:rsidP="00842B0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</w:t>
            </w:r>
            <w:r w:rsidR="00F249F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EC30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42B05"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związanych z działalnością operacyjną oraz inwestycyjną i </w:t>
            </w:r>
          </w:p>
          <w:p w14:paraId="01B61177" w14:textId="30BC9CDF" w:rsidR="00EC30FE" w:rsidRDefault="003F69E5" w:rsidP="00842B0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</w:t>
            </w:r>
            <w:r w:rsidR="00F249F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EC30F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  <w:r w:rsidR="00842B05"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finansową scharakteryzowanych w punkcie 6.1.2. a ponadto </w:t>
            </w:r>
          </w:p>
          <w:p w14:paraId="3C9B484B" w14:textId="4EDAD56D" w:rsidR="00EC30FE" w:rsidRDefault="00EC30FE" w:rsidP="00842B0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</w:t>
            </w:r>
            <w:r w:rsidR="00F249F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</w:t>
            </w:r>
            <w:r w:rsidR="00842B05"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operacji specyficznych dla działalności bankowej, </w:t>
            </w:r>
          </w:p>
          <w:p w14:paraId="2197F342" w14:textId="3C3A9C33" w:rsidR="00EC30FE" w:rsidRDefault="00EC30FE" w:rsidP="00842B05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</w:t>
            </w:r>
            <w:r w:rsidR="00F249F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842B05"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>maklerskiej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r w:rsidR="00842B05"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inwestycyjnej, spółdzielczych kas </w:t>
            </w:r>
          </w:p>
          <w:p w14:paraId="2827918C" w14:textId="4387EE68" w:rsidR="00EC30FE" w:rsidRPr="00EC30FE" w:rsidRDefault="00EC30FE" w:rsidP="00842B0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 </w:t>
            </w:r>
            <w:r w:rsidR="00842B05"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>oszczędnościowo-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>kredytowych i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42B05">
              <w:rPr>
                <w:rFonts w:ascii="Times New Roman" w:eastAsia="Calibri" w:hAnsi="Times New Roman" w:cs="Times New Roman"/>
                <w:sz w:val="18"/>
                <w:szCs w:val="18"/>
              </w:rPr>
              <w:t>instytucji płatniczych</w:t>
            </w:r>
          </w:p>
          <w:p w14:paraId="1D6608C9" w14:textId="77777777" w:rsidR="00C749EE" w:rsidRPr="00C749EE" w:rsidRDefault="00C749EE" w:rsidP="00C749EE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749EE">
              <w:rPr>
                <w:rFonts w:ascii="Times New Roman" w:eastAsia="Calibri" w:hAnsi="Times New Roman" w:cs="Times New Roman"/>
                <w:sz w:val="18"/>
                <w:szCs w:val="18"/>
              </w:rPr>
              <w:t>6.3.3. Specyfika inwentaryzacji w bankach, domach maklerskich, funduszach inwestycyjnych, spółdzielczych kasach oszczędnościowo-kredytowych i instytucjach płatniczych,</w:t>
            </w:r>
          </w:p>
          <w:p w14:paraId="6E6BB88B" w14:textId="77777777" w:rsidR="00C749EE" w:rsidRPr="00C749EE" w:rsidRDefault="00C749EE" w:rsidP="00C749EE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749EE">
              <w:rPr>
                <w:rFonts w:ascii="Times New Roman" w:eastAsia="Calibri" w:hAnsi="Times New Roman" w:cs="Times New Roman"/>
                <w:sz w:val="18"/>
                <w:szCs w:val="18"/>
              </w:rPr>
              <w:t>6.3.4.</w:t>
            </w:r>
            <w:r w:rsidRPr="00C749EE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>Ujęcie w księgach rachunkowych różnic pomiędzy wyceną początkową, bieżącą i bilansową.</w:t>
            </w:r>
          </w:p>
          <w:p w14:paraId="3593AF2C" w14:textId="77777777" w:rsidR="00C749EE" w:rsidRPr="00C749EE" w:rsidRDefault="00C749EE" w:rsidP="00C749EE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749EE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6.3.5. Wycena i księgowe ujęcie operacji pochodnymi instrumentami finansowymi oraz stosowanie rachunkowości zabezpieczeń.</w:t>
            </w:r>
          </w:p>
          <w:p w14:paraId="7DB3FC6E" w14:textId="77777777" w:rsidR="00C749EE" w:rsidRPr="00C749EE" w:rsidRDefault="00C749EE" w:rsidP="00C749EE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749EE">
              <w:rPr>
                <w:rFonts w:ascii="Times New Roman" w:eastAsia="Calibri" w:hAnsi="Times New Roman" w:cs="Times New Roman"/>
                <w:sz w:val="18"/>
                <w:szCs w:val="18"/>
              </w:rPr>
              <w:t>6.3.6.</w:t>
            </w:r>
            <w:r w:rsidRPr="00C749EE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>Ustalanie wyniku finansowego i jego rozliczanie.</w:t>
            </w:r>
          </w:p>
          <w:p w14:paraId="1DEA4761" w14:textId="77777777" w:rsidR="00EC30FE" w:rsidRDefault="00C749EE" w:rsidP="00C749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749EE">
              <w:rPr>
                <w:rFonts w:ascii="Times New Roman" w:eastAsia="Calibri" w:hAnsi="Times New Roman" w:cs="Times New Roman"/>
                <w:sz w:val="18"/>
                <w:szCs w:val="18"/>
              </w:rPr>
              <w:t>6.3.7. Szczegółowe zasady rachunkowości dla firm inwestycyjnych i</w:t>
            </w:r>
          </w:p>
          <w:p w14:paraId="3C4BD47D" w14:textId="39D14ECB" w:rsidR="00596BEF" w:rsidRDefault="00EC30FE" w:rsidP="00C749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</w:t>
            </w:r>
            <w:r w:rsidR="0078513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</w:t>
            </w:r>
            <w:r w:rsidR="00C749EE" w:rsidRPr="00C749E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instytucji płatniczych</w:t>
            </w:r>
          </w:p>
          <w:p w14:paraId="50FED23F" w14:textId="77777777" w:rsidR="0078513D" w:rsidRDefault="0078513D" w:rsidP="00C749E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23B84990" w14:textId="3DCA57DE" w:rsidR="00596BEF" w:rsidRDefault="00976530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6.4. </w:t>
            </w: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t>Rachunkowość finansowa jednostek prowadzących działalność na podstawie ustawy o działalności ubezpieczeniowej i reasekuracyjnej oraz ustawy o organizacji i funkcjonowaniu funduszy emerytalnych – według ustawy o rachunkowości i MSR.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</w:t>
            </w:r>
          </w:p>
          <w:p w14:paraId="3D165D8B" w14:textId="77777777" w:rsidR="000F44D8" w:rsidRPr="000F44D8" w:rsidRDefault="000F44D8" w:rsidP="000F44D8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F44D8">
              <w:rPr>
                <w:rFonts w:ascii="Times New Roman" w:eastAsia="Calibri" w:hAnsi="Times New Roman" w:cs="Times New Roman"/>
                <w:sz w:val="18"/>
                <w:szCs w:val="18"/>
              </w:rPr>
              <w:t>6.4.1.</w:t>
            </w:r>
            <w:r w:rsidRPr="000F44D8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>Wycena początkowa i bilansowa poszczególnych składników aktywów i pasywów.</w:t>
            </w:r>
          </w:p>
          <w:p w14:paraId="32AB3BB3" w14:textId="72534A0B" w:rsidR="000F44D8" w:rsidRDefault="000F44D8" w:rsidP="000F44D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F44D8">
              <w:rPr>
                <w:rFonts w:ascii="Times New Roman" w:eastAsia="Calibri" w:hAnsi="Times New Roman" w:cs="Times New Roman"/>
                <w:sz w:val="18"/>
                <w:szCs w:val="18"/>
              </w:rPr>
              <w:t>6.4.2.</w:t>
            </w:r>
            <w:r w:rsidR="00B0630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0F44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Ujęcie w księgach rachunkowych zdarzeń gospodarczych </w:t>
            </w:r>
          </w:p>
          <w:p w14:paraId="41659FB8" w14:textId="004C8009" w:rsidR="000F44D8" w:rsidRDefault="000F44D8" w:rsidP="000F44D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</w:t>
            </w:r>
            <w:r w:rsidR="00B0630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0F44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związanych z działalnością operacyjną, inwestycyjną i </w:t>
            </w:r>
          </w:p>
          <w:p w14:paraId="3AFD5652" w14:textId="11D88C73" w:rsidR="000F44D8" w:rsidRDefault="000F44D8" w:rsidP="000F44D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</w:t>
            </w:r>
            <w:r w:rsidR="00B0630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0F44D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finansową scharakteryzowanych w punkcie 6.1.2., a ponadto </w:t>
            </w:r>
          </w:p>
          <w:p w14:paraId="0243A69A" w14:textId="3B90CD94" w:rsidR="000F44D8" w:rsidRDefault="000F44D8" w:rsidP="000F44D8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</w:t>
            </w:r>
            <w:r w:rsidR="00B0630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0F44D8">
              <w:rPr>
                <w:rFonts w:ascii="Times New Roman" w:eastAsia="Calibri" w:hAnsi="Times New Roman" w:cs="Times New Roman"/>
                <w:sz w:val="18"/>
                <w:szCs w:val="18"/>
              </w:rPr>
              <w:t>operacji specyficznych dla działalności ubezpieczeniowej</w:t>
            </w:r>
          </w:p>
          <w:p w14:paraId="5B4BF2DD" w14:textId="47C021BD" w:rsidR="00B0630B" w:rsidRPr="00B0630B" w:rsidRDefault="00B0630B" w:rsidP="00B0630B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  <w:r w:rsidRPr="00B0630B">
              <w:rPr>
                <w:rFonts w:ascii="Times New Roman" w:eastAsia="Calibri" w:hAnsi="Times New Roman" w:cs="Times New Roman"/>
                <w:sz w:val="18"/>
                <w:szCs w:val="18"/>
              </w:rPr>
              <w:t>.4.3.</w:t>
            </w:r>
            <w:r w:rsidRPr="00B0630B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>Ujęcie w księgach rachunkowych różnic pomiędzy wyceną początkową, bieżącą i bilansową.</w:t>
            </w:r>
          </w:p>
          <w:p w14:paraId="0BB0EA38" w14:textId="77777777" w:rsidR="00B0630B" w:rsidRPr="00B0630B" w:rsidRDefault="00B0630B" w:rsidP="00B0630B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630B">
              <w:rPr>
                <w:rFonts w:ascii="Times New Roman" w:eastAsia="Calibri" w:hAnsi="Times New Roman" w:cs="Times New Roman"/>
                <w:sz w:val="18"/>
                <w:szCs w:val="18"/>
              </w:rPr>
              <w:t>6.4.4.</w:t>
            </w:r>
            <w:r w:rsidRPr="00B0630B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>Księgowe ujęcie pozostałych kosztów i przychodów technicznych i oraz pozostałych kosztów i przychodów operacyjnych.</w:t>
            </w:r>
          </w:p>
          <w:p w14:paraId="1D162955" w14:textId="77777777" w:rsidR="00B0630B" w:rsidRPr="00B0630B" w:rsidRDefault="00B0630B" w:rsidP="00B0630B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630B">
              <w:rPr>
                <w:rFonts w:ascii="Times New Roman" w:eastAsia="Calibri" w:hAnsi="Times New Roman" w:cs="Times New Roman"/>
                <w:sz w:val="18"/>
                <w:szCs w:val="18"/>
              </w:rPr>
              <w:t>6.4.5.</w:t>
            </w:r>
            <w:r w:rsidRPr="00B0630B">
              <w:rPr>
                <w:rFonts w:ascii="Times New Roman" w:eastAsia="Calibri" w:hAnsi="Times New Roman" w:cs="Times New Roman"/>
                <w:sz w:val="18"/>
                <w:szCs w:val="18"/>
              </w:rPr>
              <w:tab/>
              <w:t>Ustalanie wyniku technicznego i finansowego.</w:t>
            </w:r>
          </w:p>
          <w:p w14:paraId="2AA4C989" w14:textId="77777777" w:rsidR="00B0630B" w:rsidRDefault="00B0630B" w:rsidP="00B0630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B0630B">
              <w:rPr>
                <w:rFonts w:ascii="Times New Roman" w:eastAsia="Calibri" w:hAnsi="Times New Roman" w:cs="Times New Roman"/>
                <w:sz w:val="18"/>
                <w:szCs w:val="18"/>
              </w:rPr>
              <w:t>6.4.6.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B0630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Specyficzne zagadnienia rachunkowości funduszy </w:t>
            </w:r>
          </w:p>
          <w:p w14:paraId="6D7C7972" w14:textId="153B5886" w:rsidR="00B0630B" w:rsidRDefault="00B0630B" w:rsidP="00B0630B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</w:t>
            </w:r>
            <w:r w:rsidRPr="00B0630B">
              <w:rPr>
                <w:rFonts w:ascii="Times New Roman" w:eastAsia="Calibri" w:hAnsi="Times New Roman" w:cs="Times New Roman"/>
                <w:sz w:val="18"/>
                <w:szCs w:val="18"/>
              </w:rPr>
              <w:t>emerytalnych.</w:t>
            </w:r>
          </w:p>
          <w:p w14:paraId="2185079A" w14:textId="7ACF75B3" w:rsidR="00596BEF" w:rsidRDefault="0031249B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57E17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6.5. Rachunkowość jednostek sektora finansów publicznych</w:t>
            </w:r>
          </w:p>
          <w:p w14:paraId="53664CEF" w14:textId="77777777" w:rsidR="009A3A4E" w:rsidRPr="009A3A4E" w:rsidRDefault="009A3A4E" w:rsidP="009A3A4E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3A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6.5.1. Rachunkowość jednostek sektora finansów publicznych posiadających osobowość prawną. </w:t>
            </w:r>
          </w:p>
          <w:p w14:paraId="546C4D97" w14:textId="77777777" w:rsidR="009A3A4E" w:rsidRDefault="009A3A4E" w:rsidP="009A3A4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9A3A4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6.5.2. Rachunkowość budżetowa, w tym jednostek samorządu </w:t>
            </w:r>
          </w:p>
          <w:p w14:paraId="0C6E0F6B" w14:textId="5B416A16" w:rsidR="00596BEF" w:rsidRDefault="009A3A4E" w:rsidP="009A3A4E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        </w:t>
            </w:r>
            <w:r w:rsidRPr="009A3A4E">
              <w:rPr>
                <w:rFonts w:ascii="Times New Roman" w:eastAsia="Calibri" w:hAnsi="Times New Roman" w:cs="Times New Roman"/>
                <w:sz w:val="18"/>
                <w:szCs w:val="18"/>
              </w:rPr>
              <w:t>terytorialnego.</w:t>
            </w:r>
          </w:p>
          <w:p w14:paraId="43BE6632" w14:textId="77777777" w:rsidR="009A3A4E" w:rsidRDefault="009A3A4E" w:rsidP="009A3A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03C54FB" w14:textId="68127851" w:rsidR="00596BEF" w:rsidRDefault="00094AE2" w:rsidP="005929A5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6. </w:t>
            </w:r>
            <w:r w:rsidRPr="00094AE2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6. Rachunkowość jednostek w szczególnych sytuacjach - według ustawy o rachunkowości (UoR) i MSR</w:t>
            </w:r>
          </w:p>
          <w:p w14:paraId="2C5BE45C" w14:textId="36935762" w:rsidR="00D87899" w:rsidRPr="00D87899" w:rsidRDefault="00E92203" w:rsidP="00D87899">
            <w:pPr>
              <w:spacing w:before="120"/>
              <w:ind w:left="471" w:hanging="471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6.</w:t>
            </w:r>
            <w:r w:rsidR="00D87899" w:rsidRPr="00D87899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.6.1. Rachunkowość jednostek w szczególnych sytuacjach (według ustawy o rachunkowości i MSR), w tym: </w:t>
            </w:r>
          </w:p>
          <w:p w14:paraId="5C547829" w14:textId="77777777" w:rsidR="00D87899" w:rsidRPr="00D87899" w:rsidRDefault="00D87899" w:rsidP="00D8789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7899">
              <w:rPr>
                <w:rFonts w:ascii="Times New Roman" w:eastAsia="Calibri" w:hAnsi="Times New Roman" w:cs="Times New Roman"/>
                <w:sz w:val="18"/>
                <w:szCs w:val="18"/>
              </w:rPr>
              <w:t>zakładanie i przekształcanie jednostek gospodarczych,</w:t>
            </w:r>
          </w:p>
          <w:p w14:paraId="2F929576" w14:textId="77777777" w:rsidR="00D87899" w:rsidRDefault="00D87899" w:rsidP="00D8789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7899">
              <w:rPr>
                <w:rFonts w:ascii="Times New Roman" w:eastAsia="Calibri" w:hAnsi="Times New Roman" w:cs="Times New Roman"/>
                <w:sz w:val="18"/>
                <w:szCs w:val="18"/>
              </w:rPr>
              <w:t>łączenie, podział i przejęcia spółek,</w:t>
            </w:r>
          </w:p>
          <w:p w14:paraId="7AFBE3B7" w14:textId="257C9E2B" w:rsidR="00D87899" w:rsidRPr="00D87899" w:rsidRDefault="00D87899" w:rsidP="00D87899">
            <w:pPr>
              <w:numPr>
                <w:ilvl w:val="0"/>
                <w:numId w:val="8"/>
              </w:numPr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87899">
              <w:rPr>
                <w:rFonts w:ascii="Times New Roman" w:eastAsia="Calibri" w:hAnsi="Times New Roman" w:cs="Times New Roman"/>
                <w:sz w:val="18"/>
                <w:szCs w:val="18"/>
              </w:rPr>
              <w:t>postępowanie restrukturyzacyjne, likwidacja, upadłość jednostek gospodarczych</w:t>
            </w:r>
          </w:p>
          <w:p w14:paraId="51C4CC07" w14:textId="77777777" w:rsidR="00596BEF" w:rsidRDefault="00596BEF" w:rsidP="005929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6C66C9" w14:textId="77777777" w:rsidR="00596BEF" w:rsidRDefault="00596BEF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F99DF02" w14:textId="77777777" w:rsidR="00244484" w:rsidRDefault="00244484" w:rsidP="005929A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708DA41D" w14:textId="69FF3B7B" w:rsidR="00244484" w:rsidRPr="00BB476D" w:rsidRDefault="00244484" w:rsidP="005929A5"/>
        </w:tc>
        <w:tc>
          <w:tcPr>
            <w:tcW w:w="3118" w:type="dxa"/>
          </w:tcPr>
          <w:p w14:paraId="708DA41E" w14:textId="77777777" w:rsidR="00E23546" w:rsidRPr="00BB476D" w:rsidRDefault="00E23546" w:rsidP="005929A5"/>
        </w:tc>
        <w:tc>
          <w:tcPr>
            <w:tcW w:w="3686" w:type="dxa"/>
          </w:tcPr>
          <w:p w14:paraId="708DA41F" w14:textId="77777777" w:rsidR="00E23546" w:rsidRPr="00BB476D" w:rsidRDefault="00E23546" w:rsidP="005929A5"/>
        </w:tc>
        <w:tc>
          <w:tcPr>
            <w:tcW w:w="3685" w:type="dxa"/>
          </w:tcPr>
          <w:p w14:paraId="708DA420" w14:textId="77777777" w:rsidR="00E23546" w:rsidRPr="00BB476D" w:rsidRDefault="00E23546" w:rsidP="005929A5"/>
        </w:tc>
      </w:tr>
    </w:tbl>
    <w:p w14:paraId="708DA422" w14:textId="77777777" w:rsidR="00E5717C" w:rsidRDefault="00E5717C" w:rsidP="00AE566E"/>
    <w:p w14:paraId="0C4BFAF1" w14:textId="77777777" w:rsidR="00826763" w:rsidRPr="00746565" w:rsidRDefault="00826763" w:rsidP="00826763">
      <w:pPr>
        <w:ind w:firstLine="11199"/>
        <w:rPr>
          <w:rFonts w:ascii="Times New Roman" w:hAnsi="Times New Roman" w:cs="Times New Roman"/>
          <w:sz w:val="16"/>
          <w:szCs w:val="16"/>
        </w:rPr>
      </w:pPr>
      <w:r w:rsidRPr="00746565">
        <w:rPr>
          <w:rFonts w:ascii="Times New Roman" w:hAnsi="Times New Roman" w:cs="Times New Roman"/>
          <w:sz w:val="16"/>
          <w:szCs w:val="16"/>
        </w:rPr>
        <w:t>………………………………………………</w:t>
      </w:r>
    </w:p>
    <w:p w14:paraId="59E697A3" w14:textId="77777777" w:rsidR="00826763" w:rsidRPr="00746565" w:rsidRDefault="00826763" w:rsidP="00826763">
      <w:pPr>
        <w:ind w:firstLine="12191"/>
        <w:rPr>
          <w:rFonts w:ascii="Times New Roman" w:hAnsi="Times New Roman" w:cs="Times New Roman"/>
          <w:sz w:val="16"/>
          <w:szCs w:val="16"/>
        </w:rPr>
      </w:pPr>
      <w:r w:rsidRPr="00746565">
        <w:rPr>
          <w:rFonts w:ascii="Times New Roman" w:hAnsi="Times New Roman" w:cs="Times New Roman"/>
          <w:sz w:val="16"/>
          <w:szCs w:val="16"/>
        </w:rPr>
        <w:t>(data sporządzenia).</w:t>
      </w:r>
    </w:p>
    <w:p w14:paraId="2AEAC9C9" w14:textId="77777777" w:rsidR="00826763" w:rsidRDefault="00826763" w:rsidP="00AE566E"/>
    <w:sectPr w:rsidR="00826763" w:rsidSect="00AE566E">
      <w:footerReference w:type="default" r:id="rId7"/>
      <w:footnotePr>
        <w:numRestart w:val="eachPage"/>
      </w:footnotePr>
      <w:pgSz w:w="16838" w:h="11906" w:orient="landscape"/>
      <w:pgMar w:top="851" w:right="568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DA425" w14:textId="77777777" w:rsidR="004D1EF7" w:rsidRDefault="004D1EF7" w:rsidP="00E23546">
      <w:pPr>
        <w:spacing w:after="0" w:line="240" w:lineRule="auto"/>
      </w:pPr>
      <w:r>
        <w:separator/>
      </w:r>
    </w:p>
  </w:endnote>
  <w:endnote w:type="continuationSeparator" w:id="0">
    <w:p w14:paraId="708DA426" w14:textId="77777777" w:rsidR="004D1EF7" w:rsidRDefault="004D1EF7" w:rsidP="00E235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8400426"/>
      <w:docPartObj>
        <w:docPartGallery w:val="Page Numbers (Bottom of Page)"/>
        <w:docPartUnique/>
      </w:docPartObj>
    </w:sdtPr>
    <w:sdtEndPr/>
    <w:sdtContent>
      <w:p w14:paraId="708DA427" w14:textId="77777777" w:rsidR="00E23546" w:rsidRDefault="00E235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A57">
          <w:rPr>
            <w:noProof/>
          </w:rPr>
          <w:t>1</w:t>
        </w:r>
        <w:r>
          <w:fldChar w:fldCharType="end"/>
        </w:r>
      </w:p>
    </w:sdtContent>
  </w:sdt>
  <w:p w14:paraId="708DA428" w14:textId="77777777" w:rsidR="00E23546" w:rsidRDefault="00E2354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8DA423" w14:textId="77777777" w:rsidR="004D1EF7" w:rsidRDefault="004D1EF7" w:rsidP="00E23546">
      <w:pPr>
        <w:spacing w:after="0" w:line="240" w:lineRule="auto"/>
      </w:pPr>
      <w:r>
        <w:separator/>
      </w:r>
    </w:p>
  </w:footnote>
  <w:footnote w:type="continuationSeparator" w:id="0">
    <w:p w14:paraId="708DA424" w14:textId="77777777" w:rsidR="004D1EF7" w:rsidRDefault="004D1EF7" w:rsidP="00E23546">
      <w:pPr>
        <w:spacing w:after="0" w:line="240" w:lineRule="auto"/>
      </w:pPr>
      <w:r>
        <w:continuationSeparator/>
      </w:r>
    </w:p>
  </w:footnote>
  <w:footnote w:id="1">
    <w:p w14:paraId="708DA429" w14:textId="77777777" w:rsidR="00E23546" w:rsidRDefault="00E23546" w:rsidP="00E235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43A9A">
        <w:rPr>
          <w:sz w:val="18"/>
          <w:szCs w:val="18"/>
        </w:rPr>
        <w:t>Wpisuje się treści wynikające z sylabusa/karty, które odpowiadają zakresowi wiedzy wymaganemu przez Komisję Egzaminacyjną.</w:t>
      </w:r>
    </w:p>
  </w:footnote>
  <w:footnote w:id="2">
    <w:p w14:paraId="708DA42A" w14:textId="77777777" w:rsidR="00E23546" w:rsidRDefault="00E23546" w:rsidP="00E2354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54369">
        <w:rPr>
          <w:sz w:val="18"/>
          <w:szCs w:val="18"/>
        </w:rPr>
        <w:t>W przypadku wskazania większej (niż 3)  liczby przedmiotów składających się na egzamin objęty postępowaniem kwalifikacyjnym należy dołączyć i wypełnić kolejne kolumny matrycy.</w:t>
      </w:r>
    </w:p>
    <w:p w14:paraId="708DA42B" w14:textId="77777777" w:rsidR="00E23546" w:rsidRDefault="00E23546" w:rsidP="00E23546">
      <w:pPr>
        <w:pStyle w:val="Tekstprzypisudolnego"/>
      </w:pPr>
    </w:p>
  </w:footnote>
  <w:footnote w:id="3">
    <w:p w14:paraId="0926E483" w14:textId="77777777" w:rsidR="00965E4E" w:rsidRPr="00EA34CE" w:rsidRDefault="00965E4E" w:rsidP="00965E4E">
      <w:pPr>
        <w:pStyle w:val="Tekstprzypisudolnego"/>
        <w:rPr>
          <w:sz w:val="18"/>
          <w:szCs w:val="18"/>
        </w:rPr>
      </w:pPr>
      <w:r w:rsidRPr="00FD6C7F">
        <w:rPr>
          <w:rStyle w:val="Odwoanieprzypisudolnego"/>
        </w:rPr>
        <w:footnoteRef/>
      </w:r>
      <w:r w:rsidRPr="00FD6C7F">
        <w:t xml:space="preserve"> </w:t>
      </w:r>
      <w:r w:rsidRPr="00EA34CE">
        <w:rPr>
          <w:sz w:val="18"/>
          <w:szCs w:val="18"/>
        </w:rPr>
        <w:t>Międzynarodowe Standardy Rachunkowości (MSR) w rozumieniu ustawy z dnia 29</w:t>
      </w:r>
      <w:r>
        <w:rPr>
          <w:sz w:val="18"/>
          <w:szCs w:val="18"/>
        </w:rPr>
        <w:t xml:space="preserve"> września </w:t>
      </w:r>
      <w:r w:rsidRPr="00EA34CE">
        <w:rPr>
          <w:sz w:val="18"/>
          <w:szCs w:val="18"/>
        </w:rPr>
        <w:t xml:space="preserve">1994 r. o rachunkowości (t.j. </w:t>
      </w:r>
      <w:r>
        <w:rPr>
          <w:sz w:val="18"/>
          <w:szCs w:val="18"/>
        </w:rPr>
        <w:t>Dz.U. z 2021 r. poz.217 z późn. zm.)</w:t>
      </w:r>
      <w:r w:rsidRPr="00EA34CE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41004"/>
    <w:multiLevelType w:val="hybridMultilevel"/>
    <w:tmpl w:val="60CAC1DA"/>
    <w:lvl w:ilvl="0" w:tplc="04150017">
      <w:start w:val="1"/>
      <w:numFmt w:val="lowerLetter"/>
      <w:lvlText w:val="%1)"/>
      <w:lvlJc w:val="left"/>
      <w:pPr>
        <w:ind w:left="830" w:hanging="360"/>
      </w:pPr>
    </w:lvl>
    <w:lvl w:ilvl="1" w:tplc="04150019" w:tentative="1">
      <w:start w:val="1"/>
      <w:numFmt w:val="lowerLetter"/>
      <w:lvlText w:val="%2."/>
      <w:lvlJc w:val="left"/>
      <w:pPr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" w15:restartNumberingAfterBreak="0">
    <w:nsid w:val="1B0C51CC"/>
    <w:multiLevelType w:val="hybridMultilevel"/>
    <w:tmpl w:val="80409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85027"/>
    <w:multiLevelType w:val="hybridMultilevel"/>
    <w:tmpl w:val="60CAC1DA"/>
    <w:lvl w:ilvl="0" w:tplc="04150017">
      <w:start w:val="1"/>
      <w:numFmt w:val="lowerLetter"/>
      <w:lvlText w:val="%1)"/>
      <w:lvlJc w:val="left"/>
      <w:pPr>
        <w:ind w:left="830" w:hanging="360"/>
      </w:pPr>
    </w:lvl>
    <w:lvl w:ilvl="1" w:tplc="04150019" w:tentative="1">
      <w:start w:val="1"/>
      <w:numFmt w:val="lowerLetter"/>
      <w:lvlText w:val="%2."/>
      <w:lvlJc w:val="left"/>
      <w:pPr>
        <w:ind w:left="1550" w:hanging="360"/>
      </w:pPr>
    </w:lvl>
    <w:lvl w:ilvl="2" w:tplc="0415001B" w:tentative="1">
      <w:start w:val="1"/>
      <w:numFmt w:val="lowerRoman"/>
      <w:lvlText w:val="%3."/>
      <w:lvlJc w:val="right"/>
      <w:pPr>
        <w:ind w:left="2270" w:hanging="180"/>
      </w:pPr>
    </w:lvl>
    <w:lvl w:ilvl="3" w:tplc="0415000F" w:tentative="1">
      <w:start w:val="1"/>
      <w:numFmt w:val="decimal"/>
      <w:lvlText w:val="%4."/>
      <w:lvlJc w:val="left"/>
      <w:pPr>
        <w:ind w:left="2990" w:hanging="360"/>
      </w:pPr>
    </w:lvl>
    <w:lvl w:ilvl="4" w:tplc="04150019" w:tentative="1">
      <w:start w:val="1"/>
      <w:numFmt w:val="lowerLetter"/>
      <w:lvlText w:val="%5."/>
      <w:lvlJc w:val="left"/>
      <w:pPr>
        <w:ind w:left="3710" w:hanging="360"/>
      </w:pPr>
    </w:lvl>
    <w:lvl w:ilvl="5" w:tplc="0415001B" w:tentative="1">
      <w:start w:val="1"/>
      <w:numFmt w:val="lowerRoman"/>
      <w:lvlText w:val="%6."/>
      <w:lvlJc w:val="right"/>
      <w:pPr>
        <w:ind w:left="4430" w:hanging="180"/>
      </w:pPr>
    </w:lvl>
    <w:lvl w:ilvl="6" w:tplc="0415000F" w:tentative="1">
      <w:start w:val="1"/>
      <w:numFmt w:val="decimal"/>
      <w:lvlText w:val="%7."/>
      <w:lvlJc w:val="left"/>
      <w:pPr>
        <w:ind w:left="5150" w:hanging="360"/>
      </w:pPr>
    </w:lvl>
    <w:lvl w:ilvl="7" w:tplc="04150019" w:tentative="1">
      <w:start w:val="1"/>
      <w:numFmt w:val="lowerLetter"/>
      <w:lvlText w:val="%8."/>
      <w:lvlJc w:val="left"/>
      <w:pPr>
        <w:ind w:left="5870" w:hanging="360"/>
      </w:pPr>
    </w:lvl>
    <w:lvl w:ilvl="8" w:tplc="0415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3" w15:restartNumberingAfterBreak="0">
    <w:nsid w:val="35484212"/>
    <w:multiLevelType w:val="hybridMultilevel"/>
    <w:tmpl w:val="E2C8D55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" w15:restartNumberingAfterBreak="0">
    <w:nsid w:val="35ED152D"/>
    <w:multiLevelType w:val="hybridMultilevel"/>
    <w:tmpl w:val="16CAAA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44C"/>
    <w:multiLevelType w:val="hybridMultilevel"/>
    <w:tmpl w:val="7862B988"/>
    <w:lvl w:ilvl="0" w:tplc="22F2FA1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7DC30223"/>
    <w:multiLevelType w:val="hybridMultilevel"/>
    <w:tmpl w:val="621AE1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546"/>
    <w:rsid w:val="00076527"/>
    <w:rsid w:val="00094AE2"/>
    <w:rsid w:val="000C3A79"/>
    <w:rsid w:val="000E6F52"/>
    <w:rsid w:val="000F44D8"/>
    <w:rsid w:val="001527AD"/>
    <w:rsid w:val="00181271"/>
    <w:rsid w:val="00244484"/>
    <w:rsid w:val="0031249B"/>
    <w:rsid w:val="003313A3"/>
    <w:rsid w:val="003C1D8B"/>
    <w:rsid w:val="003F69E5"/>
    <w:rsid w:val="00443EC5"/>
    <w:rsid w:val="00462A57"/>
    <w:rsid w:val="00473D76"/>
    <w:rsid w:val="004D1EF7"/>
    <w:rsid w:val="0057580B"/>
    <w:rsid w:val="00596BEF"/>
    <w:rsid w:val="00614563"/>
    <w:rsid w:val="00666B16"/>
    <w:rsid w:val="006D771E"/>
    <w:rsid w:val="00714B21"/>
    <w:rsid w:val="00723577"/>
    <w:rsid w:val="0078513D"/>
    <w:rsid w:val="00816E19"/>
    <w:rsid w:val="008265BD"/>
    <w:rsid w:val="00826763"/>
    <w:rsid w:val="00842B05"/>
    <w:rsid w:val="00880601"/>
    <w:rsid w:val="00952B01"/>
    <w:rsid w:val="00965E4E"/>
    <w:rsid w:val="00976530"/>
    <w:rsid w:val="0097695A"/>
    <w:rsid w:val="009A3A4E"/>
    <w:rsid w:val="009E153A"/>
    <w:rsid w:val="00AE566E"/>
    <w:rsid w:val="00B0630B"/>
    <w:rsid w:val="00B06ED1"/>
    <w:rsid w:val="00B22DA4"/>
    <w:rsid w:val="00C6321F"/>
    <w:rsid w:val="00C749EE"/>
    <w:rsid w:val="00CE3A89"/>
    <w:rsid w:val="00D549E3"/>
    <w:rsid w:val="00D87899"/>
    <w:rsid w:val="00DC5C07"/>
    <w:rsid w:val="00E14D7A"/>
    <w:rsid w:val="00E23546"/>
    <w:rsid w:val="00E26BDA"/>
    <w:rsid w:val="00E5717C"/>
    <w:rsid w:val="00E62170"/>
    <w:rsid w:val="00E80ACD"/>
    <w:rsid w:val="00E92203"/>
    <w:rsid w:val="00E950E7"/>
    <w:rsid w:val="00EC30FE"/>
    <w:rsid w:val="00ED28ED"/>
    <w:rsid w:val="00F249F9"/>
    <w:rsid w:val="00F26BF6"/>
    <w:rsid w:val="00F7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DA3F5"/>
  <w15:chartTrackingRefBased/>
  <w15:docId w15:val="{26CA9ED8-1394-4E86-BCDD-FC6A537F4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3546"/>
  </w:style>
  <w:style w:type="paragraph" w:styleId="Nagwek1">
    <w:name w:val="heading 1"/>
    <w:basedOn w:val="Normalny"/>
    <w:link w:val="Nagwek1Znak"/>
    <w:uiPriority w:val="1"/>
    <w:qFormat/>
    <w:rsid w:val="00E23546"/>
    <w:pPr>
      <w:widowControl w:val="0"/>
      <w:spacing w:after="0" w:line="240" w:lineRule="auto"/>
      <w:ind w:left="1433"/>
      <w:outlineLvl w:val="0"/>
    </w:pPr>
    <w:rPr>
      <w:rFonts w:ascii="Times New Roman" w:eastAsia="Times New Roman" w:hAnsi="Times New Roman"/>
      <w:b/>
      <w:bCs/>
      <w:sz w:val="26"/>
      <w:szCs w:val="26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E23546"/>
    <w:rPr>
      <w:rFonts w:ascii="Times New Roman" w:eastAsia="Times New Roman" w:hAnsi="Times New Roman"/>
      <w:b/>
      <w:bCs/>
      <w:sz w:val="26"/>
      <w:szCs w:val="26"/>
      <w:lang w:val="en-US"/>
    </w:rPr>
  </w:style>
  <w:style w:type="table" w:customStyle="1" w:styleId="Tabela-Siatka1">
    <w:name w:val="Tabela - Siatka1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23546"/>
    <w:pPr>
      <w:spacing w:line="276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AkapitzlistZnak">
    <w:name w:val="Akapit z listą Znak"/>
    <w:link w:val="Akapitzlist"/>
    <w:uiPriority w:val="34"/>
    <w:qFormat/>
    <w:locked/>
    <w:rsid w:val="00E23546"/>
    <w:rPr>
      <w:rFonts w:eastAsiaTheme="minorEastAsia"/>
      <w:sz w:val="21"/>
      <w:szCs w:val="21"/>
    </w:rPr>
  </w:style>
  <w:style w:type="paragraph" w:styleId="Tekstprzypisudolnego">
    <w:name w:val="footnote text"/>
    <w:basedOn w:val="Normalny"/>
    <w:link w:val="TekstprzypisudolnegoZnak"/>
    <w:uiPriority w:val="99"/>
    <w:rsid w:val="00E23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2354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2354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E235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23546"/>
  </w:style>
  <w:style w:type="table" w:customStyle="1" w:styleId="Tabela-Siatka118">
    <w:name w:val="Tabela - Siatka118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9">
    <w:name w:val="Tabela - Siatka119"/>
    <w:basedOn w:val="Standardowy"/>
    <w:next w:val="Tabela-Siatka"/>
    <w:rsid w:val="00E235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805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Sztuczka</dc:creator>
  <cp:keywords/>
  <dc:description/>
  <cp:lastModifiedBy>jlabecka</cp:lastModifiedBy>
  <cp:revision>6</cp:revision>
  <dcterms:created xsi:type="dcterms:W3CDTF">2024-05-28T08:56:00Z</dcterms:created>
  <dcterms:modified xsi:type="dcterms:W3CDTF">2024-05-28T09:49:00Z</dcterms:modified>
</cp:coreProperties>
</file>